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7B94" w14:textId="4CB18387" w:rsidR="00FE5CB1" w:rsidRPr="009B19FA" w:rsidRDefault="00FE5CB1" w:rsidP="009B19FA">
      <w:pPr>
        <w:spacing w:before="100" w:beforeAutospacing="1" w:after="100" w:afterAutospacing="1"/>
        <w:rPr>
          <w:rFonts w:eastAsia="Times New Roman"/>
          <w:color w:val="000000"/>
          <w:sz w:val="24"/>
          <w:szCs w:val="24"/>
        </w:rPr>
      </w:pPr>
      <w:r>
        <w:rPr>
          <w:rFonts w:eastAsia="Times New Roman"/>
          <w:color w:val="000000"/>
          <w:sz w:val="24"/>
          <w:szCs w:val="24"/>
        </w:rPr>
        <w:t xml:space="preserve">The NPO Management Services Company offers many services to your practice.  One of the services offered is eClinicalWorks support.  Please contact the NPO IT department if you are interested in using these services, </w:t>
      </w:r>
      <w:hyperlink r:id="rId7" w:history="1">
        <w:r w:rsidRPr="000B35A0">
          <w:rPr>
            <w:rStyle w:val="Hyperlink"/>
            <w:rFonts w:eastAsia="Times New Roman"/>
            <w:sz w:val="24"/>
            <w:szCs w:val="24"/>
          </w:rPr>
          <w:t>support@npoinc.org</w:t>
        </w:r>
      </w:hyperlink>
      <w:r>
        <w:rPr>
          <w:rFonts w:eastAsia="Times New Roman"/>
          <w:color w:val="000000"/>
          <w:sz w:val="24"/>
          <w:szCs w:val="24"/>
        </w:rPr>
        <w:t xml:space="preserve">. </w:t>
      </w:r>
    </w:p>
    <w:p w14:paraId="52E3045F" w14:textId="23917354"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Physician, Provider, or Staff education and training. Customized training plan, on-site training, one on one or group setting. </w:t>
      </w:r>
    </w:p>
    <w:p w14:paraId="1E022B72" w14:textId="77777777" w:rsidR="00FE5CB1" w:rsidRPr="00FE5CB1" w:rsidRDefault="00FE5CB1" w:rsidP="00FE5CB1">
      <w:pPr>
        <w:pStyle w:val="ListParagraph"/>
        <w:rPr>
          <w:rFonts w:ascii="Tahoma" w:eastAsia="Times New Roman" w:hAnsi="Tahoma" w:cs="Tahoma"/>
          <w:color w:val="000000"/>
          <w:sz w:val="20"/>
          <w:szCs w:val="24"/>
        </w:rPr>
      </w:pPr>
    </w:p>
    <w:p w14:paraId="6A2B803C" w14:textId="5449644B"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Financial Management – evaluate current standard billing procedures and offer recommendations for; payment processing efficiencies, managing claims proactively to decrease time spent on corrections, Rules Engine, denial management, Collection module, and claim adjudication. </w:t>
      </w:r>
    </w:p>
    <w:p w14:paraId="1E996DB6" w14:textId="77777777" w:rsidR="00FE5CB1" w:rsidRPr="00FE5CB1" w:rsidRDefault="00FE5CB1" w:rsidP="00FE5CB1">
      <w:pPr>
        <w:rPr>
          <w:rFonts w:ascii="Tahoma" w:eastAsia="Times New Roman" w:hAnsi="Tahoma" w:cs="Tahoma"/>
          <w:color w:val="000000"/>
          <w:sz w:val="20"/>
          <w:szCs w:val="24"/>
        </w:rPr>
      </w:pPr>
    </w:p>
    <w:p w14:paraId="21E361D4" w14:textId="77777777" w:rsidR="00FE5CB1" w:rsidRP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Process Redesign – Analyze current processes and workflow to identify gaps and areas of improvement. Review practice setup and work flows to reduce clicks and increase efficiencies.</w:t>
      </w:r>
    </w:p>
    <w:p w14:paraId="2B2CC84D" w14:textId="793389F7"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System Set-Up Recommendations – Provide guidance and assistance with the PM and EMR </w:t>
      </w:r>
      <w:bookmarkStart w:id="0" w:name="_GoBack"/>
      <w:bookmarkEnd w:id="0"/>
      <w:r w:rsidRPr="00FE5CB1">
        <w:rPr>
          <w:rFonts w:ascii="Tahoma" w:eastAsia="Times New Roman" w:hAnsi="Tahoma" w:cs="Tahoma"/>
          <w:color w:val="000000"/>
          <w:sz w:val="20"/>
          <w:szCs w:val="24"/>
        </w:rPr>
        <w:t xml:space="preserve">settings to ensure ease of system usage based on the clinics need. </w:t>
      </w:r>
    </w:p>
    <w:p w14:paraId="4940C2F0" w14:textId="77777777" w:rsidR="00FE5CB1" w:rsidRPr="00FE5CB1" w:rsidRDefault="00FE5CB1" w:rsidP="00FE5CB1">
      <w:pPr>
        <w:pStyle w:val="ListParagraph"/>
        <w:rPr>
          <w:rFonts w:ascii="Tahoma" w:eastAsia="Times New Roman" w:hAnsi="Tahoma" w:cs="Tahoma"/>
          <w:color w:val="000000"/>
          <w:sz w:val="20"/>
          <w:szCs w:val="24"/>
        </w:rPr>
      </w:pPr>
    </w:p>
    <w:p w14:paraId="700CF3FB" w14:textId="548354EB"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Chart Prep Strategy – Design a customized chart pre-loading strategy for upcoming visits. </w:t>
      </w:r>
    </w:p>
    <w:p w14:paraId="4D5D8C25" w14:textId="77777777" w:rsidR="00FE5CB1" w:rsidRPr="00FE5CB1" w:rsidRDefault="00FE5CB1" w:rsidP="00FE5CB1">
      <w:pPr>
        <w:rPr>
          <w:rFonts w:ascii="Tahoma" w:eastAsia="Times New Roman" w:hAnsi="Tahoma" w:cs="Tahoma"/>
          <w:color w:val="000000"/>
          <w:sz w:val="20"/>
          <w:szCs w:val="24"/>
        </w:rPr>
      </w:pPr>
    </w:p>
    <w:p w14:paraId="3BF8E55C" w14:textId="3B9E1CE9"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Assistance aligning practices with CMS initiatives and quality improvement programs such as MACRA and PCMH. Provide guidance and best practice on set up and requirements. </w:t>
      </w:r>
    </w:p>
    <w:p w14:paraId="3BC7EEFC" w14:textId="1D5FA46C" w:rsidR="00FE5CB1" w:rsidRPr="00FE5CB1" w:rsidRDefault="00FE5CB1" w:rsidP="00FE5CB1">
      <w:pPr>
        <w:pStyle w:val="ListParagraph"/>
        <w:rPr>
          <w:rFonts w:ascii="Tahoma" w:eastAsia="Times New Roman" w:hAnsi="Tahoma" w:cs="Tahoma"/>
          <w:color w:val="000000"/>
          <w:sz w:val="20"/>
          <w:szCs w:val="24"/>
        </w:rPr>
      </w:pPr>
    </w:p>
    <w:p w14:paraId="5683D9F4" w14:textId="6976F99A" w:rsidR="00FE5CB1" w:rsidRDefault="00FE5CB1" w:rsidP="00FE5CB1">
      <w:pPr>
        <w:pStyle w:val="ListParagraph"/>
        <w:numPr>
          <w:ilvl w:val="0"/>
          <w:numId w:val="3"/>
        </w:numPr>
        <w:rPr>
          <w:rFonts w:ascii="Tahoma" w:eastAsia="Times New Roman" w:hAnsi="Tahoma" w:cs="Tahoma"/>
          <w:color w:val="000000"/>
          <w:sz w:val="20"/>
          <w:szCs w:val="24"/>
        </w:rPr>
      </w:pPr>
      <w:proofErr w:type="spellStart"/>
      <w:r w:rsidRPr="00FE5CB1">
        <w:rPr>
          <w:rFonts w:ascii="Tahoma" w:eastAsia="Times New Roman" w:hAnsi="Tahoma" w:cs="Tahoma"/>
          <w:color w:val="000000"/>
          <w:sz w:val="20"/>
          <w:szCs w:val="24"/>
        </w:rPr>
        <w:t>eClinicalworks</w:t>
      </w:r>
      <w:proofErr w:type="spellEnd"/>
      <w:r w:rsidRPr="00FE5CB1">
        <w:rPr>
          <w:rFonts w:ascii="Tahoma" w:eastAsia="Times New Roman" w:hAnsi="Tahoma" w:cs="Tahoma"/>
          <w:color w:val="000000"/>
          <w:sz w:val="20"/>
          <w:szCs w:val="24"/>
        </w:rPr>
        <w:t xml:space="preserve"> technical liaison – Managing your support tickets and working with </w:t>
      </w:r>
      <w:proofErr w:type="spellStart"/>
      <w:r w:rsidRPr="00FE5CB1">
        <w:rPr>
          <w:rFonts w:ascii="Tahoma" w:eastAsia="Times New Roman" w:hAnsi="Tahoma" w:cs="Tahoma"/>
          <w:color w:val="000000"/>
          <w:sz w:val="20"/>
          <w:szCs w:val="24"/>
        </w:rPr>
        <w:t>eCW</w:t>
      </w:r>
      <w:proofErr w:type="spellEnd"/>
      <w:r w:rsidRPr="00FE5CB1">
        <w:rPr>
          <w:rFonts w:ascii="Tahoma" w:eastAsia="Times New Roman" w:hAnsi="Tahoma" w:cs="Tahoma"/>
          <w:color w:val="000000"/>
          <w:sz w:val="20"/>
          <w:szCs w:val="24"/>
        </w:rPr>
        <w:t xml:space="preserve"> to resolve technical issues. </w:t>
      </w:r>
    </w:p>
    <w:p w14:paraId="14527D50" w14:textId="77777777" w:rsidR="00FE5CB1" w:rsidRPr="00FE5CB1" w:rsidRDefault="00FE5CB1" w:rsidP="00FE5CB1">
      <w:pPr>
        <w:pStyle w:val="ListParagraph"/>
        <w:rPr>
          <w:rFonts w:ascii="Tahoma" w:eastAsia="Times New Roman" w:hAnsi="Tahoma" w:cs="Tahoma"/>
          <w:color w:val="000000"/>
          <w:sz w:val="20"/>
          <w:szCs w:val="24"/>
        </w:rPr>
      </w:pPr>
    </w:p>
    <w:p w14:paraId="1B4D562F" w14:textId="22D52001"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Alerts, CDSS, and Actions</w:t>
      </w:r>
    </w:p>
    <w:p w14:paraId="65397CD6" w14:textId="77777777" w:rsidR="00FE5CB1" w:rsidRPr="00FE5CB1" w:rsidRDefault="00FE5CB1" w:rsidP="00FE5CB1">
      <w:pPr>
        <w:pStyle w:val="ListParagraph"/>
        <w:rPr>
          <w:rFonts w:ascii="Tahoma" w:eastAsia="Times New Roman" w:hAnsi="Tahoma" w:cs="Tahoma"/>
          <w:color w:val="000000"/>
          <w:sz w:val="20"/>
          <w:szCs w:val="24"/>
        </w:rPr>
      </w:pPr>
    </w:p>
    <w:p w14:paraId="00F01C2D" w14:textId="51FBCB30"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Templates, Order Sets, Flow Sheets</w:t>
      </w:r>
    </w:p>
    <w:p w14:paraId="43AEC555" w14:textId="77777777" w:rsidR="00FE5CB1" w:rsidRPr="00FE5CB1" w:rsidRDefault="00FE5CB1" w:rsidP="00FE5CB1">
      <w:pPr>
        <w:pStyle w:val="ListParagraph"/>
        <w:rPr>
          <w:rFonts w:ascii="Tahoma" w:eastAsia="Times New Roman" w:hAnsi="Tahoma" w:cs="Tahoma"/>
          <w:color w:val="000000"/>
          <w:sz w:val="20"/>
          <w:szCs w:val="24"/>
        </w:rPr>
      </w:pPr>
    </w:p>
    <w:p w14:paraId="16758852" w14:textId="5ABA61EA" w:rsid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Registry Reports – When and how to use the Registry</w:t>
      </w:r>
    </w:p>
    <w:p w14:paraId="3B4B4751" w14:textId="77777777" w:rsidR="00FE5CB1" w:rsidRPr="00FE5CB1" w:rsidRDefault="00FE5CB1" w:rsidP="00FE5CB1">
      <w:pPr>
        <w:pStyle w:val="ListParagraph"/>
        <w:rPr>
          <w:rFonts w:ascii="Tahoma" w:eastAsia="Times New Roman" w:hAnsi="Tahoma" w:cs="Tahoma"/>
          <w:color w:val="000000"/>
          <w:sz w:val="20"/>
          <w:szCs w:val="24"/>
        </w:rPr>
      </w:pPr>
    </w:p>
    <w:p w14:paraId="35FB7E71" w14:textId="61A5A64B" w:rsidR="00FE5CB1" w:rsidRDefault="00FE5CB1" w:rsidP="00FE5CB1">
      <w:pPr>
        <w:pStyle w:val="ListParagraph"/>
        <w:numPr>
          <w:ilvl w:val="0"/>
          <w:numId w:val="3"/>
        </w:numPr>
        <w:rPr>
          <w:rFonts w:ascii="Tahoma" w:eastAsia="Times New Roman" w:hAnsi="Tahoma" w:cs="Tahoma"/>
          <w:color w:val="000000"/>
          <w:sz w:val="20"/>
          <w:szCs w:val="24"/>
        </w:rPr>
      </w:pPr>
      <w:proofErr w:type="spellStart"/>
      <w:r w:rsidRPr="00FE5CB1">
        <w:rPr>
          <w:rFonts w:ascii="Tahoma" w:eastAsia="Times New Roman" w:hAnsi="Tahoma" w:cs="Tahoma"/>
          <w:color w:val="000000"/>
          <w:sz w:val="20"/>
          <w:szCs w:val="24"/>
        </w:rPr>
        <w:t>eBO</w:t>
      </w:r>
      <w:proofErr w:type="spellEnd"/>
      <w:r w:rsidRPr="00FE5CB1">
        <w:rPr>
          <w:rFonts w:ascii="Tahoma" w:eastAsia="Times New Roman" w:hAnsi="Tahoma" w:cs="Tahoma"/>
          <w:color w:val="000000"/>
          <w:sz w:val="20"/>
          <w:szCs w:val="24"/>
        </w:rPr>
        <w:t xml:space="preserve"> Reports – on-site training, in depth training on </w:t>
      </w:r>
      <w:proofErr w:type="spellStart"/>
      <w:r w:rsidRPr="00FE5CB1">
        <w:rPr>
          <w:rFonts w:ascii="Tahoma" w:eastAsia="Times New Roman" w:hAnsi="Tahoma" w:cs="Tahoma"/>
          <w:color w:val="000000"/>
          <w:sz w:val="20"/>
          <w:szCs w:val="24"/>
        </w:rPr>
        <w:t>eBO</w:t>
      </w:r>
      <w:proofErr w:type="spellEnd"/>
      <w:r w:rsidRPr="00FE5CB1">
        <w:rPr>
          <w:rFonts w:ascii="Tahoma" w:eastAsia="Times New Roman" w:hAnsi="Tahoma" w:cs="Tahoma"/>
          <w:color w:val="000000"/>
          <w:sz w:val="20"/>
          <w:szCs w:val="24"/>
        </w:rPr>
        <w:t xml:space="preserve"> Canned report usage and features, navigating </w:t>
      </w:r>
      <w:proofErr w:type="spellStart"/>
      <w:r w:rsidRPr="00FE5CB1">
        <w:rPr>
          <w:rFonts w:ascii="Tahoma" w:eastAsia="Times New Roman" w:hAnsi="Tahoma" w:cs="Tahoma"/>
          <w:color w:val="000000"/>
          <w:sz w:val="20"/>
          <w:szCs w:val="24"/>
        </w:rPr>
        <w:t>eBO</w:t>
      </w:r>
      <w:proofErr w:type="spellEnd"/>
      <w:r w:rsidRPr="00FE5CB1">
        <w:rPr>
          <w:rFonts w:ascii="Tahoma" w:eastAsia="Times New Roman" w:hAnsi="Tahoma" w:cs="Tahoma"/>
          <w:color w:val="000000"/>
          <w:sz w:val="20"/>
          <w:szCs w:val="24"/>
        </w:rPr>
        <w:t>, and creating custom queries in the Query Studio</w:t>
      </w:r>
    </w:p>
    <w:p w14:paraId="2AE97F03" w14:textId="77777777" w:rsidR="00FE5CB1" w:rsidRPr="00FE5CB1" w:rsidRDefault="00FE5CB1" w:rsidP="00FE5CB1">
      <w:pPr>
        <w:pStyle w:val="ListParagraph"/>
        <w:rPr>
          <w:rFonts w:ascii="Tahoma" w:eastAsia="Times New Roman" w:hAnsi="Tahoma" w:cs="Tahoma"/>
          <w:color w:val="000000"/>
          <w:sz w:val="20"/>
          <w:szCs w:val="24"/>
        </w:rPr>
      </w:pPr>
    </w:p>
    <w:p w14:paraId="0C2E936D" w14:textId="77777777" w:rsidR="00FE5CB1" w:rsidRPr="00FE5CB1" w:rsidRDefault="00FE5CB1" w:rsidP="00FE5CB1">
      <w:pPr>
        <w:pStyle w:val="ListParagraph"/>
        <w:numPr>
          <w:ilvl w:val="0"/>
          <w:numId w:val="3"/>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Adoption &amp; Set-Up of specialty modules: </w:t>
      </w:r>
    </w:p>
    <w:p w14:paraId="71DA7AA3" w14:textId="77777777" w:rsidR="00FE5CB1" w:rsidRPr="00FE5CB1" w:rsidRDefault="00FE5CB1" w:rsidP="00FE5CB1">
      <w:pPr>
        <w:numPr>
          <w:ilvl w:val="1"/>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Patient Portal – Make your office more efficient Questionnaires and securely communicate with patients.</w:t>
      </w:r>
    </w:p>
    <w:p w14:paraId="659FA856" w14:textId="77777777" w:rsidR="00FE5CB1" w:rsidRPr="00FE5CB1" w:rsidRDefault="00FE5CB1" w:rsidP="00FE5CB1">
      <w:pPr>
        <w:numPr>
          <w:ilvl w:val="1"/>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Insurance Eligibility – Ensure the patients insurance is up to date. </w:t>
      </w:r>
    </w:p>
    <w:p w14:paraId="3909E573" w14:textId="77777777" w:rsidR="00FE5CB1" w:rsidRPr="00FE5CB1" w:rsidRDefault="00FE5CB1" w:rsidP="00FE5CB1">
      <w:pPr>
        <w:numPr>
          <w:ilvl w:val="1"/>
          <w:numId w:val="4"/>
        </w:numPr>
        <w:rPr>
          <w:rFonts w:ascii="Tahoma" w:eastAsia="Times New Roman" w:hAnsi="Tahoma" w:cs="Tahoma"/>
          <w:color w:val="000000"/>
          <w:sz w:val="20"/>
          <w:szCs w:val="24"/>
        </w:rPr>
      </w:pPr>
      <w:proofErr w:type="spellStart"/>
      <w:r w:rsidRPr="00FE5CB1">
        <w:rPr>
          <w:rFonts w:ascii="Tahoma" w:eastAsia="Times New Roman" w:hAnsi="Tahoma" w:cs="Tahoma"/>
          <w:color w:val="000000"/>
          <w:sz w:val="20"/>
          <w:szCs w:val="24"/>
        </w:rPr>
        <w:t>eClinicalMobile</w:t>
      </w:r>
      <w:proofErr w:type="spellEnd"/>
      <w:r w:rsidRPr="00FE5CB1">
        <w:rPr>
          <w:rFonts w:ascii="Tahoma" w:eastAsia="Times New Roman" w:hAnsi="Tahoma" w:cs="Tahoma"/>
          <w:color w:val="000000"/>
          <w:sz w:val="20"/>
          <w:szCs w:val="24"/>
        </w:rPr>
        <w:t xml:space="preserve"> – Access </w:t>
      </w:r>
      <w:proofErr w:type="spellStart"/>
      <w:r w:rsidRPr="00FE5CB1">
        <w:rPr>
          <w:rFonts w:ascii="Tahoma" w:eastAsia="Times New Roman" w:hAnsi="Tahoma" w:cs="Tahoma"/>
          <w:color w:val="000000"/>
          <w:sz w:val="20"/>
          <w:szCs w:val="24"/>
        </w:rPr>
        <w:t>eClinicalworks</w:t>
      </w:r>
      <w:proofErr w:type="spellEnd"/>
      <w:r w:rsidRPr="00FE5CB1">
        <w:rPr>
          <w:rFonts w:ascii="Tahoma" w:eastAsia="Times New Roman" w:hAnsi="Tahoma" w:cs="Tahoma"/>
          <w:color w:val="000000"/>
          <w:sz w:val="20"/>
          <w:szCs w:val="24"/>
        </w:rPr>
        <w:t xml:space="preserve"> using your smart phone. </w:t>
      </w:r>
    </w:p>
    <w:p w14:paraId="4BB4506E" w14:textId="77777777" w:rsidR="00FE5CB1" w:rsidRPr="00FE5CB1" w:rsidRDefault="00FE5CB1" w:rsidP="00FE5CB1">
      <w:pPr>
        <w:numPr>
          <w:ilvl w:val="1"/>
          <w:numId w:val="4"/>
        </w:numPr>
        <w:rPr>
          <w:rFonts w:ascii="Tahoma" w:eastAsia="Times New Roman" w:hAnsi="Tahoma" w:cs="Tahoma"/>
          <w:color w:val="000000"/>
          <w:sz w:val="20"/>
          <w:szCs w:val="24"/>
        </w:rPr>
      </w:pPr>
      <w:proofErr w:type="spellStart"/>
      <w:r w:rsidRPr="00FE5CB1">
        <w:rPr>
          <w:rFonts w:ascii="Tahoma" w:eastAsia="Times New Roman" w:hAnsi="Tahoma" w:cs="Tahoma"/>
          <w:color w:val="000000"/>
          <w:sz w:val="20"/>
          <w:szCs w:val="24"/>
        </w:rPr>
        <w:t>eClinicalTouch</w:t>
      </w:r>
      <w:proofErr w:type="spellEnd"/>
      <w:r w:rsidRPr="00FE5CB1">
        <w:rPr>
          <w:rFonts w:ascii="Tahoma" w:eastAsia="Times New Roman" w:hAnsi="Tahoma" w:cs="Tahoma"/>
          <w:color w:val="000000"/>
          <w:sz w:val="20"/>
          <w:szCs w:val="24"/>
        </w:rPr>
        <w:t xml:space="preserve"> – Using </w:t>
      </w:r>
      <w:proofErr w:type="spellStart"/>
      <w:r w:rsidRPr="00FE5CB1">
        <w:rPr>
          <w:rFonts w:ascii="Tahoma" w:eastAsia="Times New Roman" w:hAnsi="Tahoma" w:cs="Tahoma"/>
          <w:color w:val="000000"/>
          <w:sz w:val="20"/>
          <w:szCs w:val="24"/>
        </w:rPr>
        <w:t>eClinicalworks</w:t>
      </w:r>
      <w:proofErr w:type="spellEnd"/>
      <w:r w:rsidRPr="00FE5CB1">
        <w:rPr>
          <w:rFonts w:ascii="Tahoma" w:eastAsia="Times New Roman" w:hAnsi="Tahoma" w:cs="Tahoma"/>
          <w:color w:val="000000"/>
          <w:sz w:val="20"/>
          <w:szCs w:val="24"/>
        </w:rPr>
        <w:t xml:space="preserve"> on an iPad</w:t>
      </w:r>
    </w:p>
    <w:p w14:paraId="5F7E7C21" w14:textId="77777777" w:rsidR="00FE5CB1" w:rsidRPr="00FE5CB1" w:rsidRDefault="00FE5CB1" w:rsidP="00FE5CB1">
      <w:pPr>
        <w:numPr>
          <w:ilvl w:val="1"/>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Kiosk – Enhance the check in process using a kiosk </w:t>
      </w:r>
    </w:p>
    <w:p w14:paraId="126CD49C" w14:textId="77777777" w:rsidR="00FE5CB1" w:rsidRPr="00FE5CB1" w:rsidRDefault="00FE5CB1" w:rsidP="00FE5CB1">
      <w:pPr>
        <w:numPr>
          <w:ilvl w:val="1"/>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EPCS – Electronic prescribing of controlled substance</w:t>
      </w:r>
    </w:p>
    <w:p w14:paraId="7425173F" w14:textId="003A224E" w:rsidR="00FE5CB1" w:rsidRDefault="00FE5CB1" w:rsidP="00FE5CB1">
      <w:pPr>
        <w:numPr>
          <w:ilvl w:val="1"/>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P2P and Direct Trust – Navigating through the set up and work flows of using P2P and Direct Trust. </w:t>
      </w:r>
    </w:p>
    <w:p w14:paraId="5142AC47" w14:textId="77777777" w:rsidR="001D321F" w:rsidRPr="00FE5CB1" w:rsidRDefault="001D321F" w:rsidP="001D321F">
      <w:pPr>
        <w:ind w:left="1080"/>
        <w:rPr>
          <w:rFonts w:ascii="Tahoma" w:eastAsia="Times New Roman" w:hAnsi="Tahoma" w:cs="Tahoma"/>
          <w:color w:val="000000"/>
          <w:sz w:val="20"/>
          <w:szCs w:val="24"/>
        </w:rPr>
      </w:pPr>
    </w:p>
    <w:p w14:paraId="4DF9BD07" w14:textId="55F57FF7" w:rsidR="00FE5CB1" w:rsidRDefault="00FE5CB1" w:rsidP="00FE5CB1">
      <w:pPr>
        <w:pStyle w:val="ListParagraph"/>
        <w:numPr>
          <w:ilvl w:val="0"/>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 xml:space="preserve">Tele visits – Connecting with patients, over the internet, using webcams. </w:t>
      </w:r>
    </w:p>
    <w:p w14:paraId="463B07C3" w14:textId="77777777" w:rsidR="00FE5CB1" w:rsidRPr="00FE5CB1" w:rsidRDefault="00FE5CB1" w:rsidP="00FE5CB1">
      <w:pPr>
        <w:pStyle w:val="ListParagraph"/>
        <w:ind w:left="360"/>
        <w:rPr>
          <w:rFonts w:ascii="Tahoma" w:eastAsia="Times New Roman" w:hAnsi="Tahoma" w:cs="Tahoma"/>
          <w:color w:val="000000"/>
          <w:sz w:val="20"/>
          <w:szCs w:val="24"/>
        </w:rPr>
      </w:pPr>
    </w:p>
    <w:p w14:paraId="00D59A2D" w14:textId="6A9DCCCC" w:rsidR="00FE5CB1" w:rsidRDefault="00FE5CB1" w:rsidP="00FE5CB1">
      <w:pPr>
        <w:pStyle w:val="ListParagraph"/>
        <w:numPr>
          <w:ilvl w:val="0"/>
          <w:numId w:val="4"/>
        </w:numPr>
        <w:rPr>
          <w:rFonts w:ascii="Tahoma" w:eastAsia="Times New Roman" w:hAnsi="Tahoma" w:cs="Tahoma"/>
          <w:color w:val="000000"/>
          <w:sz w:val="20"/>
          <w:szCs w:val="24"/>
        </w:rPr>
      </w:pPr>
      <w:r w:rsidRPr="00FE5CB1">
        <w:rPr>
          <w:rFonts w:ascii="Tahoma" w:eastAsia="Times New Roman" w:hAnsi="Tahoma" w:cs="Tahoma"/>
          <w:color w:val="000000"/>
          <w:sz w:val="20"/>
          <w:szCs w:val="24"/>
        </w:rPr>
        <w:t>Voice Messenger -  using automated telephone reminders for appointments, health maintenance reminders, and campaigns</w:t>
      </w:r>
    </w:p>
    <w:p w14:paraId="42C68BFF" w14:textId="77777777" w:rsidR="00FE5CB1" w:rsidRPr="00FE5CB1" w:rsidRDefault="00FE5CB1" w:rsidP="00FE5CB1">
      <w:pPr>
        <w:pStyle w:val="ListParagraph"/>
        <w:ind w:left="360"/>
        <w:rPr>
          <w:rFonts w:ascii="Tahoma" w:eastAsia="Times New Roman" w:hAnsi="Tahoma" w:cs="Tahoma"/>
          <w:color w:val="000000"/>
          <w:sz w:val="20"/>
          <w:szCs w:val="24"/>
        </w:rPr>
      </w:pPr>
    </w:p>
    <w:p w14:paraId="6BC8642E" w14:textId="48110B47" w:rsidR="00B909FB" w:rsidRPr="00FE5CB1" w:rsidRDefault="00FE5CB1" w:rsidP="007666E3">
      <w:pPr>
        <w:pStyle w:val="xxmsonormal"/>
        <w:numPr>
          <w:ilvl w:val="0"/>
          <w:numId w:val="4"/>
        </w:numPr>
        <w:rPr>
          <w:rFonts w:ascii="Tahoma" w:hAnsi="Tahoma" w:cs="Tahoma"/>
          <w:sz w:val="18"/>
        </w:rPr>
      </w:pPr>
      <w:r w:rsidRPr="00FE5CB1">
        <w:rPr>
          <w:rFonts w:ascii="Tahoma" w:eastAsia="Times New Roman" w:hAnsi="Tahoma" w:cs="Tahoma"/>
          <w:color w:val="000000"/>
          <w:sz w:val="20"/>
          <w:szCs w:val="24"/>
        </w:rPr>
        <w:t xml:space="preserve">Hosting Transition Support – As you move from being Munson-hosted to the cloud or Self-hosting we can help with the transition. </w:t>
      </w:r>
    </w:p>
    <w:sectPr w:rsidR="00B909FB" w:rsidRPr="00FE5C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03C02" w14:textId="77777777" w:rsidR="00FE5CB1" w:rsidRDefault="00FE5CB1" w:rsidP="00FE5CB1">
      <w:r>
        <w:separator/>
      </w:r>
    </w:p>
  </w:endnote>
  <w:endnote w:type="continuationSeparator" w:id="0">
    <w:p w14:paraId="7280A0ED" w14:textId="77777777" w:rsidR="00FE5CB1" w:rsidRDefault="00FE5CB1" w:rsidP="00FE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7461E" w14:textId="77777777" w:rsidR="00FE5CB1" w:rsidRDefault="00FE5CB1" w:rsidP="00FE5CB1">
      <w:r>
        <w:separator/>
      </w:r>
    </w:p>
  </w:footnote>
  <w:footnote w:type="continuationSeparator" w:id="0">
    <w:p w14:paraId="0E808212" w14:textId="77777777" w:rsidR="00FE5CB1" w:rsidRDefault="00FE5CB1" w:rsidP="00FE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13C2" w14:textId="03CF8F1A" w:rsidR="00FE5CB1" w:rsidRPr="00FE5CB1" w:rsidRDefault="009B19FA" w:rsidP="00FE5CB1">
    <w:pPr>
      <w:pStyle w:val="xxmsonormal"/>
      <w:spacing w:line="360" w:lineRule="auto"/>
      <w:rPr>
        <w:rFonts w:ascii="Tahoma" w:hAnsi="Tahoma" w:cs="Tahoma"/>
        <w:b/>
        <w:color w:val="000000"/>
        <w:sz w:val="28"/>
        <w:szCs w:val="24"/>
      </w:rPr>
    </w:pPr>
    <w:r>
      <w:rPr>
        <w:noProof/>
      </w:rPr>
      <w:drawing>
        <wp:anchor distT="0" distB="0" distL="114300" distR="114300" simplePos="0" relativeHeight="251658240" behindDoc="0" locked="0" layoutInCell="1" allowOverlap="1" wp14:anchorId="22030250" wp14:editId="798B3CC2">
          <wp:simplePos x="0" y="0"/>
          <wp:positionH relativeFrom="leftMargin">
            <wp:posOffset>352425</wp:posOffset>
          </wp:positionH>
          <wp:positionV relativeFrom="page">
            <wp:posOffset>276226</wp:posOffset>
          </wp:positionV>
          <wp:extent cx="628650" cy="115133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O logo - smaller size.jpg"/>
                  <pic:cNvPicPr/>
                </pic:nvPicPr>
                <pic:blipFill>
                  <a:blip r:embed="rId1">
                    <a:extLst>
                      <a:ext uri="{28A0092B-C50C-407E-A947-70E740481C1C}">
                        <a14:useLocalDpi xmlns:a14="http://schemas.microsoft.com/office/drawing/2010/main" val="0"/>
                      </a:ext>
                    </a:extLst>
                  </a:blip>
                  <a:stretch>
                    <a:fillRect/>
                  </a:stretch>
                </pic:blipFill>
                <pic:spPr>
                  <a:xfrm>
                    <a:off x="0" y="0"/>
                    <a:ext cx="631120" cy="1155856"/>
                  </a:xfrm>
                  <a:prstGeom prst="rect">
                    <a:avLst/>
                  </a:prstGeom>
                </pic:spPr>
              </pic:pic>
            </a:graphicData>
          </a:graphic>
          <wp14:sizeRelH relativeFrom="margin">
            <wp14:pctWidth>0</wp14:pctWidth>
          </wp14:sizeRelH>
          <wp14:sizeRelV relativeFrom="margin">
            <wp14:pctHeight>0</wp14:pctHeight>
          </wp14:sizeRelV>
        </wp:anchor>
      </w:drawing>
    </w:r>
    <w:r w:rsidR="00FE5CB1" w:rsidRPr="00FE5CB1">
      <w:rPr>
        <w:rFonts w:ascii="Tahoma" w:hAnsi="Tahoma" w:cs="Tahoma"/>
        <w:b/>
        <w:color w:val="000000"/>
        <w:sz w:val="28"/>
        <w:szCs w:val="24"/>
      </w:rPr>
      <w:t>eClinicalWorks Services offered by NPO:</w:t>
    </w:r>
  </w:p>
  <w:p w14:paraId="683FFCEC" w14:textId="24559F5E" w:rsidR="00FE5CB1" w:rsidRDefault="00FE5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E79BE"/>
    <w:multiLevelType w:val="multilevel"/>
    <w:tmpl w:val="83388B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9B501A4"/>
    <w:multiLevelType w:val="multilevel"/>
    <w:tmpl w:val="4BFC7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3C693DB1"/>
    <w:multiLevelType w:val="hybridMultilevel"/>
    <w:tmpl w:val="6B92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F7567"/>
    <w:multiLevelType w:val="multilevel"/>
    <w:tmpl w:val="A0CEA8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B1"/>
    <w:rsid w:val="001D321F"/>
    <w:rsid w:val="00237988"/>
    <w:rsid w:val="002A283F"/>
    <w:rsid w:val="003438F1"/>
    <w:rsid w:val="009B19FA"/>
    <w:rsid w:val="00B909FB"/>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91CC"/>
  <w15:chartTrackingRefBased/>
  <w15:docId w15:val="{5E349887-B2F3-45A9-9B2C-0132BEF0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C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FE5CB1"/>
  </w:style>
  <w:style w:type="paragraph" w:styleId="Header">
    <w:name w:val="header"/>
    <w:basedOn w:val="Normal"/>
    <w:link w:val="HeaderChar"/>
    <w:uiPriority w:val="99"/>
    <w:unhideWhenUsed/>
    <w:rsid w:val="00FE5CB1"/>
    <w:pPr>
      <w:tabs>
        <w:tab w:val="center" w:pos="4680"/>
        <w:tab w:val="right" w:pos="9360"/>
      </w:tabs>
    </w:pPr>
  </w:style>
  <w:style w:type="character" w:customStyle="1" w:styleId="HeaderChar">
    <w:name w:val="Header Char"/>
    <w:basedOn w:val="DefaultParagraphFont"/>
    <w:link w:val="Header"/>
    <w:uiPriority w:val="99"/>
    <w:rsid w:val="00FE5CB1"/>
    <w:rPr>
      <w:rFonts w:ascii="Calibri" w:hAnsi="Calibri" w:cs="Calibri"/>
    </w:rPr>
  </w:style>
  <w:style w:type="paragraph" w:styleId="Footer">
    <w:name w:val="footer"/>
    <w:basedOn w:val="Normal"/>
    <w:link w:val="FooterChar"/>
    <w:uiPriority w:val="99"/>
    <w:unhideWhenUsed/>
    <w:rsid w:val="00FE5CB1"/>
    <w:pPr>
      <w:tabs>
        <w:tab w:val="center" w:pos="4680"/>
        <w:tab w:val="right" w:pos="9360"/>
      </w:tabs>
    </w:pPr>
  </w:style>
  <w:style w:type="character" w:customStyle="1" w:styleId="FooterChar">
    <w:name w:val="Footer Char"/>
    <w:basedOn w:val="DefaultParagraphFont"/>
    <w:link w:val="Footer"/>
    <w:uiPriority w:val="99"/>
    <w:rsid w:val="00FE5CB1"/>
    <w:rPr>
      <w:rFonts w:ascii="Calibri" w:hAnsi="Calibri" w:cs="Calibri"/>
    </w:rPr>
  </w:style>
  <w:style w:type="character" w:styleId="Hyperlink">
    <w:name w:val="Hyperlink"/>
    <w:basedOn w:val="DefaultParagraphFont"/>
    <w:uiPriority w:val="99"/>
    <w:unhideWhenUsed/>
    <w:rsid w:val="00FE5CB1"/>
    <w:rPr>
      <w:color w:val="0563C1" w:themeColor="hyperlink"/>
      <w:u w:val="single"/>
    </w:rPr>
  </w:style>
  <w:style w:type="character" w:styleId="UnresolvedMention">
    <w:name w:val="Unresolved Mention"/>
    <w:basedOn w:val="DefaultParagraphFont"/>
    <w:uiPriority w:val="99"/>
    <w:semiHidden/>
    <w:unhideWhenUsed/>
    <w:rsid w:val="00FE5CB1"/>
    <w:rPr>
      <w:color w:val="808080"/>
      <w:shd w:val="clear" w:color="auto" w:fill="E6E6E6"/>
    </w:rPr>
  </w:style>
  <w:style w:type="paragraph" w:styleId="ListParagraph">
    <w:name w:val="List Paragraph"/>
    <w:basedOn w:val="Normal"/>
    <w:uiPriority w:val="34"/>
    <w:qFormat/>
    <w:rsid w:val="00FE5CB1"/>
    <w:pPr>
      <w:ind w:left="720"/>
      <w:contextualSpacing/>
    </w:pPr>
  </w:style>
  <w:style w:type="paragraph" w:styleId="BalloonText">
    <w:name w:val="Balloon Text"/>
    <w:basedOn w:val="Normal"/>
    <w:link w:val="BalloonTextChar"/>
    <w:uiPriority w:val="99"/>
    <w:semiHidden/>
    <w:unhideWhenUsed/>
    <w:rsid w:val="00343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0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npo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Pataky</dc:creator>
  <cp:keywords/>
  <dc:description/>
  <cp:lastModifiedBy>Bryanna Pataky</cp:lastModifiedBy>
  <cp:revision>4</cp:revision>
  <cp:lastPrinted>2018-03-21T13:14:00Z</cp:lastPrinted>
  <dcterms:created xsi:type="dcterms:W3CDTF">2018-03-21T13:04:00Z</dcterms:created>
  <dcterms:modified xsi:type="dcterms:W3CDTF">2018-03-21T15:22:00Z</dcterms:modified>
</cp:coreProperties>
</file>