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BCAF3" w14:textId="07B93F6C" w:rsidR="00BB5A9C" w:rsidRDefault="00EF05E7" w:rsidP="00EF05E7">
      <w:pPr>
        <w:jc w:val="center"/>
        <w:rPr>
          <w:b/>
          <w:bCs/>
          <w:sz w:val="28"/>
          <w:szCs w:val="28"/>
        </w:rPr>
      </w:pPr>
      <w:proofErr w:type="gramStart"/>
      <w:r w:rsidRPr="00EF05E7">
        <w:rPr>
          <w:b/>
          <w:bCs/>
          <w:sz w:val="28"/>
          <w:szCs w:val="28"/>
        </w:rPr>
        <w:t>Statement :</w:t>
      </w:r>
      <w:proofErr w:type="gramEnd"/>
      <w:r w:rsidRPr="00EF05E7">
        <w:rPr>
          <w:b/>
          <w:bCs/>
          <w:sz w:val="28"/>
          <w:szCs w:val="28"/>
        </w:rPr>
        <w:t xml:space="preserve"> MIPS for ACO Participants</w:t>
      </w:r>
    </w:p>
    <w:p w14:paraId="68C2C2B6" w14:textId="12B4ADF7" w:rsidR="00EF05E7" w:rsidRDefault="00EF05E7" w:rsidP="00EF05E7">
      <w:pPr>
        <w:jc w:val="center"/>
        <w:rPr>
          <w:b/>
          <w:bCs/>
          <w:sz w:val="28"/>
          <w:szCs w:val="28"/>
        </w:rPr>
      </w:pPr>
    </w:p>
    <w:p w14:paraId="38829B26" w14:textId="7C4B6874" w:rsidR="00EF05E7" w:rsidRDefault="00BF70F3" w:rsidP="00BF7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Beginning with the </w:t>
      </w:r>
      <w:r w:rsidR="001C5C91">
        <w:rPr>
          <w:sz w:val="24"/>
          <w:szCs w:val="24"/>
        </w:rPr>
        <w:t xml:space="preserve">2020 measurement year, all ACO participants belong to the </w:t>
      </w:r>
      <w:r w:rsidR="001C5C91" w:rsidRPr="00964D54">
        <w:rPr>
          <w:b/>
          <w:bCs/>
          <w:sz w:val="24"/>
          <w:szCs w:val="24"/>
        </w:rPr>
        <w:t>Trillium ACO</w:t>
      </w:r>
      <w:r w:rsidR="001C5C91">
        <w:rPr>
          <w:sz w:val="24"/>
          <w:szCs w:val="24"/>
        </w:rPr>
        <w:t xml:space="preserve">, an MSSP </w:t>
      </w:r>
      <w:r w:rsidR="001C5C91" w:rsidRPr="00964D54">
        <w:rPr>
          <w:b/>
          <w:bCs/>
          <w:sz w:val="24"/>
          <w:szCs w:val="24"/>
        </w:rPr>
        <w:t>Basic Level E entity</w:t>
      </w:r>
      <w:r w:rsidR="001C5C91">
        <w:rPr>
          <w:sz w:val="24"/>
          <w:szCs w:val="24"/>
        </w:rPr>
        <w:t xml:space="preserve">. Because this pathway involves the assumption of a certain amount of risk, Trillium </w:t>
      </w:r>
      <w:proofErr w:type="gramStart"/>
      <w:r w:rsidR="001C5C91">
        <w:rPr>
          <w:sz w:val="24"/>
          <w:szCs w:val="24"/>
        </w:rPr>
        <w:t>is considered to be</w:t>
      </w:r>
      <w:proofErr w:type="gramEnd"/>
      <w:r w:rsidR="001C5C91">
        <w:rPr>
          <w:sz w:val="24"/>
          <w:szCs w:val="24"/>
        </w:rPr>
        <w:t xml:space="preserve"> an Advanced APM</w:t>
      </w:r>
      <w:r w:rsidR="00964D54">
        <w:rPr>
          <w:sz w:val="24"/>
          <w:szCs w:val="24"/>
        </w:rPr>
        <w:t xml:space="preserve"> for QPP (MIPS) purposes.</w:t>
      </w:r>
    </w:p>
    <w:p w14:paraId="59F50E9A" w14:textId="01B6C41A" w:rsidR="001C5C91" w:rsidRDefault="001C5C91" w:rsidP="001C5C91">
      <w:pPr>
        <w:jc w:val="both"/>
        <w:rPr>
          <w:sz w:val="24"/>
          <w:szCs w:val="24"/>
        </w:rPr>
      </w:pPr>
      <w:r>
        <w:rPr>
          <w:sz w:val="24"/>
          <w:szCs w:val="24"/>
        </w:rPr>
        <w:t>This means the following:</w:t>
      </w:r>
    </w:p>
    <w:p w14:paraId="1FEE5E0F" w14:textId="7A363515" w:rsidR="001C5C91" w:rsidRPr="00964D54" w:rsidRDefault="001C5C91" w:rsidP="000943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shd w:val="clear" w:color="auto" w:fill="FFFFFF"/>
        </w:rPr>
      </w:pPr>
      <w:r w:rsidRPr="001C5C91">
        <w:rPr>
          <w:sz w:val="24"/>
          <w:szCs w:val="24"/>
        </w:rPr>
        <w:t xml:space="preserve">Advanced APM participants are exempt from </w:t>
      </w:r>
      <w:r w:rsidRPr="001C5C91">
        <w:rPr>
          <w:sz w:val="24"/>
          <w:szCs w:val="24"/>
          <w:u w:val="single"/>
        </w:rPr>
        <w:t>reporting</w:t>
      </w:r>
      <w:r w:rsidRPr="001C5C91">
        <w:rPr>
          <w:sz w:val="24"/>
          <w:szCs w:val="24"/>
        </w:rPr>
        <w:t xml:space="preserve"> for MIPS </w:t>
      </w:r>
      <w:r>
        <w:rPr>
          <w:sz w:val="24"/>
          <w:szCs w:val="24"/>
        </w:rPr>
        <w:t xml:space="preserve">(although participants are still expected to comply with the MIPS requirements. CMS assumes that,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successfully mitigate </w:t>
      </w:r>
      <w:r w:rsidR="00964D54">
        <w:rPr>
          <w:sz w:val="24"/>
          <w:szCs w:val="24"/>
        </w:rPr>
        <w:t>risk and achieve savings, participants have integrated the various elements of MIPS into their routine processes)</w:t>
      </w:r>
    </w:p>
    <w:p w14:paraId="0C9F693B" w14:textId="77777777" w:rsidR="00964D54" w:rsidRPr="001C5C91" w:rsidRDefault="00964D54" w:rsidP="00964D54">
      <w:pPr>
        <w:pStyle w:val="ListParagraph"/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shd w:val="clear" w:color="auto" w:fill="FFFFFF"/>
        </w:rPr>
      </w:pPr>
    </w:p>
    <w:p w14:paraId="320689BD" w14:textId="54C1FD31" w:rsidR="00EF05E7" w:rsidRPr="00BF70F3" w:rsidRDefault="00EF05E7" w:rsidP="001C5C91">
      <w:pPr>
        <w:pStyle w:val="ListParagraph"/>
        <w:spacing w:after="0" w:line="240" w:lineRule="auto"/>
        <w:rPr>
          <w:rFonts w:eastAsia="Times New Roman" w:cstheme="minorHAnsi"/>
          <w:sz w:val="32"/>
          <w:szCs w:val="32"/>
        </w:rPr>
      </w:pPr>
      <w:r w:rsidRPr="00BF70F3">
        <w:rPr>
          <w:rFonts w:eastAsia="Times New Roman" w:cstheme="minorHAnsi"/>
          <w:color w:val="666666"/>
          <w:sz w:val="24"/>
          <w:szCs w:val="24"/>
          <w:shd w:val="clear" w:color="auto" w:fill="FFFFFF"/>
        </w:rPr>
        <w:t xml:space="preserve">However, to be exempt from MIPS participation, you must be considered a </w:t>
      </w:r>
      <w:r w:rsidRPr="00964D54">
        <w:rPr>
          <w:rFonts w:eastAsia="Times New Roman" w:cstheme="minorHAnsi"/>
          <w:b/>
          <w:bCs/>
          <w:color w:val="666666"/>
          <w:sz w:val="24"/>
          <w:szCs w:val="24"/>
          <w:shd w:val="clear" w:color="auto" w:fill="FFFFFF"/>
        </w:rPr>
        <w:t>Qualifying Advanced APM Participant (QP)</w:t>
      </w:r>
      <w:r w:rsidRPr="00964D54">
        <w:rPr>
          <w:rFonts w:eastAsia="Times New Roman" w:cstheme="minorHAnsi"/>
          <w:color w:val="666666"/>
          <w:sz w:val="24"/>
          <w:szCs w:val="24"/>
          <w:shd w:val="clear" w:color="auto" w:fill="FFFFFF"/>
        </w:rPr>
        <w:t>.</w:t>
      </w:r>
      <w:r w:rsidRPr="00BF70F3">
        <w:rPr>
          <w:rFonts w:eastAsia="Times New Roman" w:cstheme="minorHAnsi"/>
          <w:color w:val="666666"/>
          <w:sz w:val="24"/>
          <w:szCs w:val="24"/>
          <w:shd w:val="clear" w:color="auto" w:fill="FFFFFF"/>
        </w:rPr>
        <w:t xml:space="preserve"> You receive this determination if the ACO you are participating</w:t>
      </w:r>
      <w:r w:rsidR="001C5C91">
        <w:rPr>
          <w:rFonts w:eastAsia="Times New Roman" w:cstheme="minorHAnsi"/>
          <w:color w:val="666666"/>
          <w:sz w:val="24"/>
          <w:szCs w:val="24"/>
          <w:shd w:val="clear" w:color="auto" w:fill="FFFFFF"/>
        </w:rPr>
        <w:t xml:space="preserve"> in</w:t>
      </w:r>
      <w:proofErr w:type="gramStart"/>
      <w:r w:rsidRPr="00BF70F3">
        <w:rPr>
          <w:rFonts w:eastAsia="Times New Roman" w:cstheme="minorHAnsi"/>
          <w:color w:val="666666"/>
          <w:sz w:val="24"/>
          <w:szCs w:val="24"/>
          <w:shd w:val="clear" w:color="auto" w:fill="FFFFFF"/>
        </w:rPr>
        <w:t>, as a whole, either</w:t>
      </w:r>
      <w:proofErr w:type="gramEnd"/>
      <w:r w:rsidRPr="00BF70F3">
        <w:rPr>
          <w:rFonts w:eastAsia="Times New Roman" w:cstheme="minorHAnsi"/>
          <w:color w:val="666666"/>
          <w:sz w:val="24"/>
          <w:szCs w:val="24"/>
          <w:shd w:val="clear" w:color="auto" w:fill="FFFFFF"/>
        </w:rPr>
        <w:t>:</w:t>
      </w:r>
      <w:r w:rsidRPr="00BF70F3">
        <w:rPr>
          <w:rFonts w:eastAsia="Times New Roman" w:cstheme="minorHAnsi"/>
          <w:color w:val="666666"/>
          <w:sz w:val="24"/>
          <w:szCs w:val="24"/>
        </w:rPr>
        <w:br/>
      </w:r>
      <w:r w:rsidRPr="00BF70F3">
        <w:rPr>
          <w:rFonts w:eastAsia="Times New Roman" w:cstheme="minorHAnsi"/>
          <w:color w:val="666666"/>
          <w:sz w:val="24"/>
          <w:szCs w:val="24"/>
          <w:shd w:val="clear" w:color="auto" w:fill="FFFFFF"/>
        </w:rPr>
        <w:t> </w:t>
      </w:r>
    </w:p>
    <w:p w14:paraId="3FDEDFF7" w14:textId="77777777" w:rsidR="00EF05E7" w:rsidRPr="00EF05E7" w:rsidRDefault="00EF05E7" w:rsidP="00BF70F3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360" w:lineRule="atLeast"/>
        <w:ind w:left="1800"/>
        <w:textAlignment w:val="baseline"/>
        <w:rPr>
          <w:rFonts w:eastAsia="Times New Roman" w:cstheme="minorHAnsi"/>
          <w:color w:val="666666"/>
          <w:sz w:val="24"/>
          <w:szCs w:val="24"/>
        </w:rPr>
      </w:pPr>
      <w:r w:rsidRPr="00EF05E7">
        <w:rPr>
          <w:rFonts w:eastAsia="Times New Roman" w:cstheme="minorHAnsi"/>
          <w:color w:val="666666"/>
          <w:sz w:val="24"/>
          <w:szCs w:val="24"/>
        </w:rPr>
        <w:t>Sees 50% of its Medicare Part B patients through the Advanced APM, OR</w:t>
      </w:r>
    </w:p>
    <w:p w14:paraId="6442EB6F" w14:textId="77777777" w:rsidR="00EF05E7" w:rsidRPr="00EF05E7" w:rsidRDefault="00EF05E7" w:rsidP="00BF70F3">
      <w:pPr>
        <w:numPr>
          <w:ilvl w:val="0"/>
          <w:numId w:val="1"/>
        </w:numPr>
        <w:shd w:val="clear" w:color="auto" w:fill="FFFFFF"/>
        <w:spacing w:after="0" w:line="360" w:lineRule="atLeast"/>
        <w:ind w:left="1800"/>
        <w:textAlignment w:val="baseline"/>
        <w:rPr>
          <w:rFonts w:eastAsia="Times New Roman" w:cstheme="minorHAnsi"/>
          <w:color w:val="666666"/>
          <w:sz w:val="24"/>
          <w:szCs w:val="24"/>
        </w:rPr>
      </w:pPr>
      <w:r w:rsidRPr="00EF05E7">
        <w:rPr>
          <w:rFonts w:eastAsia="Times New Roman" w:cstheme="minorHAnsi"/>
          <w:color w:val="666666"/>
          <w:sz w:val="24"/>
          <w:szCs w:val="24"/>
        </w:rPr>
        <w:t>Receives 35% of its Medicare Part B payments through the Advanced APM.</w:t>
      </w:r>
    </w:p>
    <w:p w14:paraId="022BB103" w14:textId="015D1A0D" w:rsidR="00964D54" w:rsidRDefault="00EF05E7" w:rsidP="001C5C91">
      <w:pPr>
        <w:ind w:left="720"/>
        <w:rPr>
          <w:rFonts w:eastAsia="Times New Roman" w:cstheme="minorHAnsi"/>
          <w:color w:val="666666"/>
          <w:sz w:val="24"/>
          <w:szCs w:val="24"/>
          <w:shd w:val="clear" w:color="auto" w:fill="FFFFFF"/>
        </w:rPr>
      </w:pPr>
      <w:r w:rsidRPr="00EF05E7">
        <w:rPr>
          <w:rFonts w:eastAsia="Times New Roman" w:cstheme="minorHAnsi"/>
          <w:color w:val="666666"/>
          <w:sz w:val="24"/>
          <w:szCs w:val="24"/>
        </w:rPr>
        <w:br/>
      </w:r>
      <w:r w:rsidRPr="00EF05E7">
        <w:rPr>
          <w:rFonts w:eastAsia="Times New Roman" w:cstheme="minorHAnsi"/>
          <w:color w:val="666666"/>
          <w:sz w:val="24"/>
          <w:szCs w:val="24"/>
          <w:shd w:val="clear" w:color="auto" w:fill="FFFFFF"/>
        </w:rPr>
        <w:t>Even though the determination is made at the ACO level (or the APM Entity level), the determination is applied at the individual level.</w:t>
      </w:r>
      <w:r w:rsidR="00964D54">
        <w:rPr>
          <w:rFonts w:eastAsia="Times New Roman" w:cstheme="minorHAnsi"/>
          <w:color w:val="666666"/>
          <w:sz w:val="24"/>
          <w:szCs w:val="24"/>
          <w:shd w:val="clear" w:color="auto" w:fill="FFFFFF"/>
        </w:rPr>
        <w:t xml:space="preserve"> </w:t>
      </w:r>
      <w:r w:rsidR="00957F5F">
        <w:rPr>
          <w:rFonts w:eastAsia="Times New Roman" w:cstheme="minorHAnsi"/>
          <w:color w:val="666666"/>
          <w:sz w:val="24"/>
          <w:szCs w:val="24"/>
          <w:shd w:val="clear" w:color="auto" w:fill="FFFFFF"/>
        </w:rPr>
        <w:t xml:space="preserve">Final QP determinations will not be made until the end of 2020. </w:t>
      </w:r>
    </w:p>
    <w:p w14:paraId="314736DC" w14:textId="3C127947" w:rsidR="00EF05E7" w:rsidRDefault="00964D54" w:rsidP="001C5C91">
      <w:pPr>
        <w:ind w:left="720"/>
        <w:rPr>
          <w:rFonts w:eastAsia="Times New Roman" w:cstheme="minorHAnsi"/>
          <w:color w:val="666666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666666"/>
          <w:sz w:val="24"/>
          <w:szCs w:val="24"/>
          <w:shd w:val="clear" w:color="auto" w:fill="FFFFFF"/>
        </w:rPr>
        <w:t>If exempt from MIPS, participants will not receive a MIPS payment adjustment (positive or negative).</w:t>
      </w:r>
    </w:p>
    <w:p w14:paraId="414FD472" w14:textId="77777777" w:rsidR="005974F4" w:rsidRDefault="00957F5F" w:rsidP="00964D54">
      <w:pPr>
        <w:pStyle w:val="ListParagraph"/>
        <w:numPr>
          <w:ilvl w:val="0"/>
          <w:numId w:val="3"/>
        </w:numPr>
        <w:rPr>
          <w:rFonts w:eastAsia="Times New Roman" w:cstheme="minorHAnsi"/>
          <w:color w:val="666666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666666"/>
          <w:sz w:val="24"/>
          <w:szCs w:val="24"/>
          <w:shd w:val="clear" w:color="auto" w:fill="FFFFFF"/>
        </w:rPr>
        <w:t xml:space="preserve">NPO abstractors will still be collecting, and submitting, ACO quality data </w:t>
      </w:r>
      <w:r w:rsidR="005974F4">
        <w:rPr>
          <w:rFonts w:eastAsia="Times New Roman" w:cstheme="minorHAnsi"/>
          <w:color w:val="666666"/>
          <w:sz w:val="24"/>
          <w:szCs w:val="24"/>
          <w:shd w:val="clear" w:color="auto" w:fill="FFFFFF"/>
        </w:rPr>
        <w:t>from participating practices (GPRO).</w:t>
      </w:r>
    </w:p>
    <w:p w14:paraId="681B08EB" w14:textId="234FA3E9" w:rsidR="00957F5F" w:rsidRDefault="00957F5F" w:rsidP="005974F4">
      <w:pPr>
        <w:pStyle w:val="ListParagraph"/>
        <w:rPr>
          <w:rFonts w:eastAsia="Times New Roman" w:cstheme="minorHAnsi"/>
          <w:color w:val="666666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666666"/>
          <w:sz w:val="24"/>
          <w:szCs w:val="24"/>
          <w:shd w:val="clear" w:color="auto" w:fill="FFFFFF"/>
        </w:rPr>
        <w:t xml:space="preserve"> </w:t>
      </w:r>
    </w:p>
    <w:p w14:paraId="18A2A77D" w14:textId="1771140E" w:rsidR="00964D54" w:rsidRDefault="00964D54" w:rsidP="00964D54">
      <w:pPr>
        <w:pStyle w:val="ListParagraph"/>
        <w:numPr>
          <w:ilvl w:val="0"/>
          <w:numId w:val="3"/>
        </w:numPr>
        <w:rPr>
          <w:rFonts w:eastAsia="Times New Roman" w:cstheme="minorHAnsi"/>
          <w:color w:val="666666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666666"/>
          <w:sz w:val="24"/>
          <w:szCs w:val="24"/>
          <w:shd w:val="clear" w:color="auto" w:fill="FFFFFF"/>
        </w:rPr>
        <w:t>Advanced APM participants are eligible to receive a 5% lump sum incentive payment (based upon an average of Medicare Part B FFS payments)</w:t>
      </w:r>
      <w:r w:rsidR="00957F5F">
        <w:rPr>
          <w:rFonts w:eastAsia="Times New Roman" w:cstheme="minorHAnsi"/>
          <w:color w:val="666666"/>
          <w:sz w:val="24"/>
          <w:szCs w:val="24"/>
          <w:shd w:val="clear" w:color="auto" w:fill="FFFFFF"/>
        </w:rPr>
        <w:t>.</w:t>
      </w:r>
    </w:p>
    <w:p w14:paraId="5462EA9B" w14:textId="75DB2B6B" w:rsidR="00957F5F" w:rsidRDefault="00957F5F" w:rsidP="00957F5F">
      <w:pPr>
        <w:rPr>
          <w:rFonts w:eastAsia="Times New Roman" w:cstheme="minorHAnsi"/>
          <w:color w:val="666666"/>
          <w:sz w:val="24"/>
          <w:szCs w:val="24"/>
          <w:shd w:val="clear" w:color="auto" w:fill="FFFFFF"/>
        </w:rPr>
      </w:pPr>
    </w:p>
    <w:p w14:paraId="109D2807" w14:textId="77777777" w:rsidR="00964D54" w:rsidRDefault="00964D54" w:rsidP="00964D54">
      <w:pPr>
        <w:pStyle w:val="ListParagraph"/>
        <w:rPr>
          <w:rFonts w:eastAsia="Times New Roman" w:cstheme="minorHAnsi"/>
          <w:color w:val="666666"/>
          <w:sz w:val="24"/>
          <w:szCs w:val="24"/>
          <w:shd w:val="clear" w:color="auto" w:fill="FFFFFF"/>
        </w:rPr>
      </w:pPr>
    </w:p>
    <w:sectPr w:rsidR="00964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05060"/>
    <w:multiLevelType w:val="multilevel"/>
    <w:tmpl w:val="89B09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62040"/>
    <w:multiLevelType w:val="hybridMultilevel"/>
    <w:tmpl w:val="6B38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8628E"/>
    <w:multiLevelType w:val="hybridMultilevel"/>
    <w:tmpl w:val="6B0C04D2"/>
    <w:lvl w:ilvl="0" w:tplc="685E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E7"/>
    <w:rsid w:val="001C5C91"/>
    <w:rsid w:val="005974F4"/>
    <w:rsid w:val="00957F5F"/>
    <w:rsid w:val="00964D54"/>
    <w:rsid w:val="00BB5A9C"/>
    <w:rsid w:val="00BF70F3"/>
    <w:rsid w:val="00E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D8AD"/>
  <w15:chartTrackingRefBased/>
  <w15:docId w15:val="{D60D4182-9CCD-4BC8-8DA1-879C5CA8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Anderson</dc:creator>
  <cp:keywords/>
  <dc:description/>
  <cp:lastModifiedBy>Michelle Anderson</cp:lastModifiedBy>
  <cp:revision>1</cp:revision>
  <dcterms:created xsi:type="dcterms:W3CDTF">2020-07-08T15:44:00Z</dcterms:created>
  <dcterms:modified xsi:type="dcterms:W3CDTF">2020-07-08T16:50:00Z</dcterms:modified>
</cp:coreProperties>
</file>